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B3FE" w14:textId="4E9F6D01" w:rsidR="00633774" w:rsidRPr="005C7340" w:rsidRDefault="00633774" w:rsidP="00AA6A43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5C7340">
        <w:rPr>
          <w:b/>
          <w:bCs/>
          <w:color w:val="2E74B5" w:themeColor="accent5" w:themeShade="BF"/>
          <w:sz w:val="44"/>
          <w:szCs w:val="44"/>
        </w:rPr>
        <w:t xml:space="preserve">SEASCALE </w:t>
      </w:r>
      <w:r w:rsidR="00237105">
        <w:rPr>
          <w:b/>
          <w:bCs/>
          <w:color w:val="2E74B5" w:themeColor="accent5" w:themeShade="BF"/>
          <w:sz w:val="44"/>
          <w:szCs w:val="44"/>
        </w:rPr>
        <w:t>HEALTH CENTRE</w:t>
      </w:r>
    </w:p>
    <w:p w14:paraId="7D164542" w14:textId="2983958F" w:rsidR="00633774" w:rsidRPr="005C7340" w:rsidRDefault="00633774" w:rsidP="00AA6A43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5C7340">
        <w:rPr>
          <w:b/>
          <w:bCs/>
          <w:color w:val="2E74B5" w:themeColor="accent5" w:themeShade="BF"/>
          <w:sz w:val="44"/>
          <w:szCs w:val="44"/>
        </w:rPr>
        <w:t>PATIENT PARTICIPATION GROUP</w:t>
      </w:r>
    </w:p>
    <w:p w14:paraId="2A423326" w14:textId="47A2C2D5" w:rsidR="00633774" w:rsidRPr="00AA6A43" w:rsidRDefault="00633774">
      <w:pPr>
        <w:rPr>
          <w:b/>
          <w:bCs/>
          <w:sz w:val="36"/>
          <w:szCs w:val="36"/>
        </w:rPr>
      </w:pPr>
      <w:r w:rsidRPr="00AA6A43">
        <w:rPr>
          <w:b/>
          <w:bCs/>
          <w:sz w:val="36"/>
          <w:szCs w:val="36"/>
        </w:rPr>
        <w:t>Terms of Reference</w:t>
      </w:r>
    </w:p>
    <w:p w14:paraId="602C49C4" w14:textId="47390664" w:rsidR="00633774" w:rsidRDefault="00633774" w:rsidP="00BF02F9">
      <w:pPr>
        <w:ind w:left="426" w:hanging="426"/>
        <w:rPr>
          <w:b/>
          <w:bCs/>
          <w:sz w:val="28"/>
          <w:szCs w:val="28"/>
        </w:rPr>
      </w:pPr>
      <w:r w:rsidRPr="00633774">
        <w:rPr>
          <w:b/>
          <w:bCs/>
          <w:sz w:val="28"/>
          <w:szCs w:val="28"/>
        </w:rPr>
        <w:t xml:space="preserve">The PPG will: </w:t>
      </w:r>
    </w:p>
    <w:p w14:paraId="46BC82C9" w14:textId="5AF4605C" w:rsidR="005C7340" w:rsidRPr="005C7340" w:rsidRDefault="00633774" w:rsidP="00BF02F9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Help to improve communication between the Practice and its patients</w:t>
      </w:r>
    </w:p>
    <w:p w14:paraId="229020D5" w14:textId="77777777" w:rsidR="005C7340" w:rsidRPr="005C7340" w:rsidRDefault="005C7340" w:rsidP="00BF02F9">
      <w:pPr>
        <w:pStyle w:val="ListParagraph"/>
        <w:spacing w:line="240" w:lineRule="auto"/>
        <w:ind w:left="426" w:hanging="426"/>
        <w:rPr>
          <w:b/>
          <w:bCs/>
          <w:sz w:val="26"/>
          <w:szCs w:val="26"/>
        </w:rPr>
      </w:pPr>
    </w:p>
    <w:p w14:paraId="084EFED1" w14:textId="322E6C20" w:rsidR="005C7340" w:rsidRPr="005C7340" w:rsidRDefault="00482EE3" w:rsidP="00BF02F9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 xml:space="preserve">Gain knowledge and understanding of the work that the Practice does and any proposed future changes </w:t>
      </w:r>
    </w:p>
    <w:p w14:paraId="4F7960CC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212C5758" w14:textId="55259C59" w:rsidR="005C7340" w:rsidRPr="005C7340" w:rsidRDefault="00633774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Act as a planning tool for the Surgery</w:t>
      </w:r>
      <w:r w:rsidR="00C7017C" w:rsidRPr="005C7340">
        <w:rPr>
          <w:sz w:val="26"/>
          <w:szCs w:val="26"/>
        </w:rPr>
        <w:t xml:space="preserve">, providing a patient perspective in </w:t>
      </w:r>
      <w:r w:rsidRPr="005C7340">
        <w:rPr>
          <w:sz w:val="26"/>
          <w:szCs w:val="26"/>
        </w:rPr>
        <w:t>service development and provision</w:t>
      </w:r>
    </w:p>
    <w:p w14:paraId="3BF6CCA0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7D0F5702" w14:textId="137D2E83" w:rsidR="005C7340" w:rsidRPr="005C7340" w:rsidRDefault="00C7017C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Be a link between patients and the Practice, providing</w:t>
      </w:r>
      <w:r w:rsidR="00D02A14" w:rsidRPr="005C7340">
        <w:rPr>
          <w:sz w:val="26"/>
          <w:szCs w:val="26"/>
        </w:rPr>
        <w:t xml:space="preserve"> feedback on patients’ needs, concerns and interests</w:t>
      </w:r>
      <w:r w:rsidR="005C7340" w:rsidRPr="005C7340">
        <w:rPr>
          <w:sz w:val="26"/>
          <w:szCs w:val="26"/>
        </w:rPr>
        <w:t>. A PPG meeting however is not a forum to raise individual complaints or to seek medical advice</w:t>
      </w:r>
    </w:p>
    <w:p w14:paraId="4EF8A256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174C8FDF" w14:textId="77777777" w:rsidR="005C7340" w:rsidRPr="005C7340" w:rsidRDefault="00482EE3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Explore with Practice staff general issues from patient complaints and patient surveys, contrib</w:t>
      </w:r>
      <w:r w:rsidR="00AA6A43" w:rsidRPr="005C7340">
        <w:rPr>
          <w:sz w:val="26"/>
          <w:szCs w:val="26"/>
        </w:rPr>
        <w:t>ute</w:t>
      </w:r>
      <w:r w:rsidRPr="005C7340">
        <w:rPr>
          <w:sz w:val="26"/>
          <w:szCs w:val="26"/>
        </w:rPr>
        <w:t xml:space="preserve"> to actions plans and help to monitor improvements</w:t>
      </w:r>
    </w:p>
    <w:p w14:paraId="6F382005" w14:textId="77777777" w:rsidR="005C7340" w:rsidRPr="005C7340" w:rsidRDefault="005C7340" w:rsidP="00BF02F9">
      <w:pPr>
        <w:pStyle w:val="ListParagraph"/>
        <w:ind w:left="426" w:hanging="426"/>
        <w:rPr>
          <w:sz w:val="26"/>
          <w:szCs w:val="26"/>
        </w:rPr>
      </w:pPr>
    </w:p>
    <w:p w14:paraId="3E69FC11" w14:textId="39A0F805" w:rsidR="005C7340" w:rsidRPr="005C7340" w:rsidRDefault="00D02A14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Feed</w:t>
      </w:r>
      <w:r w:rsidR="00482EE3" w:rsidRPr="005C7340">
        <w:rPr>
          <w:sz w:val="26"/>
          <w:szCs w:val="26"/>
        </w:rPr>
        <w:t xml:space="preserve"> </w:t>
      </w:r>
      <w:r w:rsidRPr="005C7340">
        <w:rPr>
          <w:sz w:val="26"/>
          <w:szCs w:val="26"/>
        </w:rPr>
        <w:t xml:space="preserve">back </w:t>
      </w:r>
      <w:r w:rsidR="00237105">
        <w:rPr>
          <w:sz w:val="26"/>
          <w:szCs w:val="26"/>
        </w:rPr>
        <w:t xml:space="preserve">to the Practice </w:t>
      </w:r>
      <w:r w:rsidRPr="005C7340">
        <w:rPr>
          <w:sz w:val="26"/>
          <w:szCs w:val="26"/>
        </w:rPr>
        <w:t>information about the community which may affect healthcare</w:t>
      </w:r>
    </w:p>
    <w:p w14:paraId="218AA4E2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77D3D1E1" w14:textId="29E3D281" w:rsidR="00C7017C" w:rsidRPr="005C7340" w:rsidRDefault="00C7017C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 xml:space="preserve">Encourage and support health </w:t>
      </w:r>
      <w:r w:rsidR="00AA6A43" w:rsidRPr="005C7340">
        <w:rPr>
          <w:sz w:val="26"/>
          <w:szCs w:val="26"/>
        </w:rPr>
        <w:t xml:space="preserve">awareness and patient </w:t>
      </w:r>
      <w:r w:rsidRPr="005C7340">
        <w:rPr>
          <w:sz w:val="26"/>
          <w:szCs w:val="26"/>
        </w:rPr>
        <w:t>education activities</w:t>
      </w:r>
    </w:p>
    <w:p w14:paraId="7D2C8A60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6996B714" w14:textId="2B73683D" w:rsidR="00C7017C" w:rsidRPr="005C7340" w:rsidRDefault="00C7017C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>Assist the Practice in gaining support within the local community</w:t>
      </w:r>
    </w:p>
    <w:p w14:paraId="1AB632A1" w14:textId="77777777" w:rsidR="005C7340" w:rsidRPr="005C7340" w:rsidRDefault="005C7340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7147D393" w14:textId="6B07DFB7" w:rsidR="00482EE3" w:rsidRPr="00BF02F9" w:rsidRDefault="00C7017C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5C7340">
        <w:rPr>
          <w:sz w:val="26"/>
          <w:szCs w:val="26"/>
        </w:rPr>
        <w:t xml:space="preserve">Learn about </w:t>
      </w:r>
      <w:r w:rsidR="00482EE3" w:rsidRPr="005C7340">
        <w:rPr>
          <w:sz w:val="26"/>
          <w:szCs w:val="26"/>
        </w:rPr>
        <w:t>the wider health and care system in which the Practice operates. Where possible work with other PPGs and health and care groups to influence the provision of s</w:t>
      </w:r>
      <w:r w:rsidRPr="005C7340">
        <w:rPr>
          <w:sz w:val="26"/>
          <w:szCs w:val="26"/>
        </w:rPr>
        <w:t>econdary health</w:t>
      </w:r>
      <w:r w:rsidR="00482EE3" w:rsidRPr="005C7340">
        <w:rPr>
          <w:sz w:val="26"/>
          <w:szCs w:val="26"/>
        </w:rPr>
        <w:t xml:space="preserve"> and social care which impacts on our community</w:t>
      </w:r>
    </w:p>
    <w:p w14:paraId="3202E615" w14:textId="77777777" w:rsidR="00BF02F9" w:rsidRPr="00BF02F9" w:rsidRDefault="00BF02F9" w:rsidP="00BF02F9">
      <w:pPr>
        <w:pStyle w:val="ListParagraph"/>
        <w:ind w:left="426" w:hanging="426"/>
        <w:rPr>
          <w:b/>
          <w:bCs/>
          <w:sz w:val="26"/>
          <w:szCs w:val="26"/>
        </w:rPr>
      </w:pPr>
    </w:p>
    <w:p w14:paraId="01200097" w14:textId="2A8675EE" w:rsidR="00BF02F9" w:rsidRPr="00BF02F9" w:rsidRDefault="00BF02F9" w:rsidP="00BF02F9">
      <w:pPr>
        <w:pStyle w:val="ListParagraph"/>
        <w:numPr>
          <w:ilvl w:val="0"/>
          <w:numId w:val="3"/>
        </w:numPr>
        <w:ind w:left="426" w:hanging="426"/>
        <w:rPr>
          <w:b/>
          <w:bCs/>
          <w:sz w:val="26"/>
          <w:szCs w:val="26"/>
        </w:rPr>
      </w:pPr>
      <w:r w:rsidRPr="00BF02F9">
        <w:rPr>
          <w:sz w:val="26"/>
          <w:szCs w:val="26"/>
        </w:rPr>
        <w:t>Meet at least four times a year virtually or face-to-face. Small working groups on specific issues may meet separately and report to the main group for decisions</w:t>
      </w:r>
    </w:p>
    <w:p w14:paraId="036707B4" w14:textId="77777777" w:rsidR="00BF02F9" w:rsidRPr="00BF02F9" w:rsidRDefault="00BF02F9" w:rsidP="00BF02F9">
      <w:pPr>
        <w:rPr>
          <w:b/>
          <w:bCs/>
          <w:sz w:val="26"/>
          <w:szCs w:val="26"/>
        </w:rPr>
      </w:pPr>
    </w:p>
    <w:p w14:paraId="1B009EEE" w14:textId="767E6486" w:rsidR="005C7340" w:rsidRPr="00BF02F9" w:rsidRDefault="00BA2832">
      <w:pPr>
        <w:rPr>
          <w:b/>
          <w:bCs/>
          <w:sz w:val="32"/>
          <w:szCs w:val="32"/>
        </w:rPr>
      </w:pPr>
      <w:bookmarkStart w:id="0" w:name="_Hlk67665606"/>
      <w:r>
        <w:rPr>
          <w:b/>
          <w:bCs/>
          <w:sz w:val="32"/>
          <w:szCs w:val="32"/>
        </w:rPr>
        <w:t>A</w:t>
      </w:r>
      <w:r w:rsidR="005C7340" w:rsidRPr="00BF02F9">
        <w:rPr>
          <w:b/>
          <w:bCs/>
          <w:sz w:val="32"/>
          <w:szCs w:val="32"/>
        </w:rPr>
        <w:t xml:space="preserve">greed at the Seascale and Bootle Patient Participation Group Annual General Meeting, </w:t>
      </w:r>
      <w:r w:rsidR="00C24D44">
        <w:rPr>
          <w:b/>
          <w:bCs/>
          <w:sz w:val="32"/>
          <w:szCs w:val="32"/>
        </w:rPr>
        <w:t>10</w:t>
      </w:r>
      <w:r w:rsidR="008A31D0">
        <w:rPr>
          <w:b/>
          <w:bCs/>
          <w:sz w:val="32"/>
          <w:szCs w:val="32"/>
        </w:rPr>
        <w:t xml:space="preserve"> </w:t>
      </w:r>
      <w:r w:rsidR="005C7340" w:rsidRPr="00BF02F9">
        <w:rPr>
          <w:b/>
          <w:bCs/>
          <w:sz w:val="32"/>
          <w:szCs w:val="32"/>
        </w:rPr>
        <w:t>June 2021</w:t>
      </w:r>
      <w:bookmarkEnd w:id="0"/>
    </w:p>
    <w:sectPr w:rsidR="005C7340" w:rsidRPr="00BF0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98A3" w14:textId="77777777" w:rsidR="005D6B68" w:rsidRDefault="005D6B68" w:rsidP="005C7340">
      <w:pPr>
        <w:spacing w:after="0" w:line="240" w:lineRule="auto"/>
      </w:pPr>
      <w:r>
        <w:separator/>
      </w:r>
    </w:p>
  </w:endnote>
  <w:endnote w:type="continuationSeparator" w:id="0">
    <w:p w14:paraId="6FD19567" w14:textId="77777777" w:rsidR="005D6B68" w:rsidRDefault="005D6B68" w:rsidP="005C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233" w14:textId="77777777" w:rsidR="005C7340" w:rsidRDefault="005C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93B3" w14:textId="77777777" w:rsidR="005C7340" w:rsidRDefault="005C7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A494" w14:textId="77777777" w:rsidR="005C7340" w:rsidRDefault="005C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17FF" w14:textId="77777777" w:rsidR="005D6B68" w:rsidRDefault="005D6B68" w:rsidP="005C7340">
      <w:pPr>
        <w:spacing w:after="0" w:line="240" w:lineRule="auto"/>
      </w:pPr>
      <w:r>
        <w:separator/>
      </w:r>
    </w:p>
  </w:footnote>
  <w:footnote w:type="continuationSeparator" w:id="0">
    <w:p w14:paraId="4BD4D7E2" w14:textId="77777777" w:rsidR="005D6B68" w:rsidRDefault="005D6B68" w:rsidP="005C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6DBD" w14:textId="77777777" w:rsidR="005C7340" w:rsidRDefault="005C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68B7" w14:textId="48DAD4DE" w:rsidR="005C7340" w:rsidRDefault="005C7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6F5A" w14:textId="77777777" w:rsidR="005C7340" w:rsidRDefault="005C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4D9"/>
    <w:multiLevelType w:val="hybridMultilevel"/>
    <w:tmpl w:val="1CAC6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180"/>
    <w:multiLevelType w:val="multilevel"/>
    <w:tmpl w:val="5D1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FF3BAE"/>
    <w:multiLevelType w:val="hybridMultilevel"/>
    <w:tmpl w:val="613A6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74"/>
    <w:rsid w:val="000153BF"/>
    <w:rsid w:val="00143035"/>
    <w:rsid w:val="0023388F"/>
    <w:rsid w:val="00237105"/>
    <w:rsid w:val="00482EE3"/>
    <w:rsid w:val="005C7340"/>
    <w:rsid w:val="005D6B68"/>
    <w:rsid w:val="00633774"/>
    <w:rsid w:val="008767D7"/>
    <w:rsid w:val="008A31D0"/>
    <w:rsid w:val="00985F0B"/>
    <w:rsid w:val="00AA6A43"/>
    <w:rsid w:val="00B7073D"/>
    <w:rsid w:val="00BA2832"/>
    <w:rsid w:val="00BF02F9"/>
    <w:rsid w:val="00C24D44"/>
    <w:rsid w:val="00C7017C"/>
    <w:rsid w:val="00D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F87C0"/>
  <w15:chartTrackingRefBased/>
  <w15:docId w15:val="{D80486B5-ABBD-4079-A122-E6C9420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74"/>
    <w:pPr>
      <w:ind w:left="720"/>
      <w:contextualSpacing/>
    </w:pPr>
  </w:style>
  <w:style w:type="paragraph" w:customStyle="1" w:styleId="Normal1">
    <w:name w:val="Normal1"/>
    <w:basedOn w:val="Normal"/>
    <w:rsid w:val="0063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6">
    <w:name w:val="c-6"/>
    <w:basedOn w:val="DefaultParagraphFont"/>
    <w:rsid w:val="00633774"/>
  </w:style>
  <w:style w:type="paragraph" w:styleId="Header">
    <w:name w:val="header"/>
    <w:basedOn w:val="Normal"/>
    <w:link w:val="HeaderChar"/>
    <w:uiPriority w:val="99"/>
    <w:unhideWhenUsed/>
    <w:rsid w:val="005C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40"/>
  </w:style>
  <w:style w:type="paragraph" w:styleId="Footer">
    <w:name w:val="footer"/>
    <w:basedOn w:val="Normal"/>
    <w:link w:val="FooterChar"/>
    <w:uiPriority w:val="99"/>
    <w:unhideWhenUsed/>
    <w:rsid w:val="005C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Turner</dc:creator>
  <cp:keywords/>
  <dc:description/>
  <cp:lastModifiedBy>Eileen Turner</cp:lastModifiedBy>
  <cp:revision>3</cp:revision>
  <dcterms:created xsi:type="dcterms:W3CDTF">2021-06-16T10:37:00Z</dcterms:created>
  <dcterms:modified xsi:type="dcterms:W3CDTF">2021-06-16T10:37:00Z</dcterms:modified>
</cp:coreProperties>
</file>